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bidi/>
        <w:spacing w:after="200" w:line="360" w:lineRule="auto"/>
        <w:jc w:val="center"/>
      </w:pPr>
      <w:r>
        <w:rPr>
          <w:rFonts w:ascii="Tahoma" w:hAnsi="Tahoma" w:cs="Tahoma"/>
          <w:b/>
          <w:bCs/>
          <w:rtl/>
          <w:sz w:val="32"/>
          <w:szCs w:val="32"/>
        </w:rPr>
        <w:t xml:space="preserve">نمونه قرارداد پشتیبانی و نگهداری شبکه و سرور</w:t>
      </w:r>
    </w:p>
    <w:p>
      <w:pPr>
        <w:bidi/>
        <w:spacing w:after="240" w:line="360" w:lineRule="auto"/>
      </w:pPr>
      <w:r>
        <w:rPr>
          <w:rFonts w:ascii="Tahoma" w:hAnsi="Tahoma" w:cs="Tahoma"/>
          <w:rtl/>
          <w:sz w:val="20"/>
          <w:szCs w:val="20"/>
        </w:rPr>
        <w:t xml:space="preserve">این فایل نمونه است و قرارداد حقوقی آماده نیست. بخش های نقطه چین را با شرایط خودتان پر کنید و پیش از امضا، متن را با مشاور حقوقی و فنی خودتان بازبینی کنید. تهیه شده توسط پیکوسیستم (pikosystem.com).</w:t>
      </w:r>
    </w:p>
    <w:p>
      <w:pPr>
        <w:bidi/>
        <w:spacing w:after="80" w:line="360" w:lineRule="auto"/>
      </w:pPr>
      <w:r>
        <w:rPr>
          <w:rFonts w:ascii="Tahoma" w:hAnsi="Tahoma" w:cs="Tahoma"/>
          <w:b/>
          <w:bCs/>
          <w:rtl/>
          <w:sz w:val="24"/>
          <w:szCs w:val="24"/>
        </w:rPr>
        <w:t xml:space="preserve">ماده 1: طرفین قرارداد</w:t>
      </w:r>
    </w:p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>کارفرما: ........................ (شناسه ملی: ............ ، نشانی: ........................ ، نماینده: ............ )</w:t>
      </w:r>
    </w:p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>پیمانکار: ........................ (شناسه ملی: ............ ، نشانی: ........................ ، نماینده: ............ )</w:t>
      </w:r>
    </w:p>
    <w:p>
      <w:pPr>
        <w:bidi/>
        <w:spacing w:after="80" w:line="360" w:lineRule="auto"/>
      </w:pPr>
      <w:r>
        <w:rPr>
          <w:rFonts w:ascii="Tahoma" w:hAnsi="Tahoma" w:cs="Tahoma"/>
          <w:b/>
          <w:bCs/>
          <w:rtl/>
          <w:sz w:val="24"/>
          <w:szCs w:val="24"/>
        </w:rPr>
        <w:t xml:space="preserve">ماده 2: موضوع قرارداد</w:t>
      </w:r>
    </w:p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>پشتیبانی، نگهداری و پایش شبکه و سرورهای کارفرما در محل یا از راه دور، مطابق فهرست تجهیزات و سرویس های پیوست 1.</w:t>
      </w:r>
    </w:p>
    <w:p>
      <w:pPr>
        <w:bidi/>
        <w:spacing w:after="80" w:line="360" w:lineRule="auto"/>
      </w:pPr>
      <w:r>
        <w:rPr>
          <w:rFonts w:ascii="Tahoma" w:hAnsi="Tahoma" w:cs="Tahoma"/>
          <w:b/>
          <w:bCs/>
          <w:rtl/>
          <w:sz w:val="24"/>
          <w:szCs w:val="24"/>
        </w:rPr>
        <w:t xml:space="preserve">ماده 3: دامنه خدمات</w:t>
      </w:r>
    </w:p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>3-1: خدمات داخل قرارداد: پشتیبانی کاربران و مدیران، رفع خطا، به روزرسانی و وصله امنیتی، پایش و هشدار، بررسی دوره ای بکاپ ها و مستندسازی تغییرات.</w:t>
      </w:r>
    </w:p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>3-2: خدمات خارج از قرارداد: پروژه های جدید، تغییر ساختار شبکه، خرید و تأمین سخت افزار و لایسنس و مهاجرت سرویس ها. این موارد با توافق جداگانه و برآورد کتبی انجام می شود.</w:t>
      </w:r>
    </w:p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>3-3: تعداد بازدید حضوری در ماه: ........ ؛ پشتیبانی از راه دور در ساعات: ........................</w:t>
      </w:r>
    </w:p>
    <w:p>
      <w:pPr>
        <w:bidi/>
        <w:spacing w:after="80" w:line="360" w:lineRule="auto"/>
      </w:pPr>
      <w:r>
        <w:rPr>
          <w:rFonts w:ascii="Tahoma" w:hAnsi="Tahoma" w:cs="Tahoma"/>
          <w:b/>
          <w:bCs/>
          <w:rtl/>
          <w:sz w:val="24"/>
          <w:szCs w:val="24"/>
        </w:rPr>
        <w:t xml:space="preserve">ماده 4: سطح خدمات (SLA)</w:t>
      </w:r>
    </w:p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>ساعات پاسخ گویی: ........................ . زمان پاسخ اولیه و زمان هدف رفع مشکل برای هر اولویت مطابق جدول زیر است و نحوه اندازه گیری آن در پیوست 2 آمده است.</w:t>
      </w:r>
    </w:p>
    <w:tbl>
      <w:tblPr>
        <w:tblW w:w="5000" w:type="pct"/>
        <w:bidiVisual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</w:tblPr>
      <w:tr>
        <w:tc>
          <w:tcPr>
            <w:shd w:val="clear" w:color="auto" w:fill="E8F1EF"/>
          </w:tcPr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b/>
                <w:bCs/>
                <w:rtl/>
                <w:sz w:val="20"/>
                <w:szCs w:val="20"/>
              </w:rPr>
              <w:t xml:space="preserve">اولویت</w:t>
            </w:r>
          </w:p>
        </w:tc>
        <w:tc>
          <w:tcPr>
            <w:shd w:val="clear" w:color="auto" w:fill="E8F1EF"/>
          </w:tcPr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b/>
                <w:bCs/>
                <w:rtl/>
                <w:sz w:val="20"/>
                <w:szCs w:val="20"/>
              </w:rPr>
              <w:t xml:space="preserve">نمونه وضعیت</w:t>
            </w:r>
          </w:p>
        </w:tc>
        <w:tc>
          <w:tcPr>
            <w:shd w:val="clear" w:color="auto" w:fill="E8F1EF"/>
          </w:tcPr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b/>
                <w:bCs/>
                <w:rtl/>
                <w:sz w:val="20"/>
                <w:szCs w:val="20"/>
              </w:rPr>
              <w:t xml:space="preserve">زمان پاسخ اولیه</w:t>
            </w:r>
          </w:p>
        </w:tc>
        <w:tc>
          <w:tcPr>
            <w:shd w:val="clear" w:color="auto" w:fill="E8F1EF"/>
          </w:tcPr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b/>
                <w:bCs/>
                <w:rtl/>
                <w:sz w:val="20"/>
                <w:szCs w:val="20"/>
              </w:rPr>
              <w:t xml:space="preserve">زمان هدف رفع</w:t>
            </w:r>
          </w:p>
        </w:tc>
      </w:tr>
      <w:tr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بحرانی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قطع کامل سرویس اصلی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</w:tr>
      <w:tr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بالا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افت شدید کارایی یا قطع بخشی از کاربران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</w:tr>
      <w:tr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متوسط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مشکل یک کاربر یا سرویس غیر اصلی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</w:tr>
      <w:tr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پایین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درخواست تغییر یا پرسش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</w:tr>
    </w:tbl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/>
      </w:r>
    </w:p>
    <w:p>
      <w:pPr>
        <w:bidi/>
        <w:spacing w:after="80" w:line="360" w:lineRule="auto"/>
      </w:pPr>
      <w:r>
        <w:rPr>
          <w:rFonts w:ascii="Tahoma" w:hAnsi="Tahoma" w:cs="Tahoma"/>
          <w:b/>
          <w:bCs/>
          <w:rtl/>
          <w:sz w:val="24"/>
          <w:szCs w:val="24"/>
        </w:rPr>
        <w:t xml:space="preserve">ماده 5: مدت قرارداد</w:t>
      </w:r>
    </w:p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>مدت قرارداد از تاریخ ............ تا ............ است و در صورت توافق طرفین با شرایط ............ تمدید می شود.</w:t>
      </w:r>
    </w:p>
    <w:p>
      <w:pPr>
        <w:bidi/>
        <w:spacing w:after="80" w:line="360" w:lineRule="auto"/>
      </w:pPr>
      <w:r>
        <w:rPr>
          <w:rFonts w:ascii="Tahoma" w:hAnsi="Tahoma" w:cs="Tahoma"/>
          <w:b/>
          <w:bCs/>
          <w:rtl/>
          <w:sz w:val="24"/>
          <w:szCs w:val="24"/>
        </w:rPr>
        <w:t xml:space="preserve">ماده 6: مبلغ و نحوه پرداخت</w:t>
      </w:r>
    </w:p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>مبلغ ماهانه: ........................ ریال. روش و موعد پرداخت: ........................ . خدمات خارج از دامنه با برآورد کتبی و تأیید کارفرما محاسبه می شود.</w:t>
      </w:r>
    </w:p>
    <w:p>
      <w:pPr>
        <w:bidi/>
        <w:spacing w:after="80" w:line="360" w:lineRule="auto"/>
      </w:pPr>
      <w:r>
        <w:rPr>
          <w:rFonts w:ascii="Tahoma" w:hAnsi="Tahoma" w:cs="Tahoma"/>
          <w:b/>
          <w:bCs/>
          <w:rtl/>
          <w:sz w:val="24"/>
          <w:szCs w:val="24"/>
        </w:rPr>
        <w:t xml:space="preserve">ماده 7: تعهدات پیمانکار</w:t>
      </w:r>
    </w:p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>انجام خدمات با دقت فنی و در زمان های توافق شده، ثبت درخواست ها و گزارش دوره ای، اطلاع رسانی پیش از هر تغییر که ممکن است سرویس را قطع کند، و رعایت اصول امنیتی در دسترسی به سیستم ها.</w:t>
      </w:r>
    </w:p>
    <w:p>
      <w:pPr>
        <w:bidi/>
        <w:spacing w:after="80" w:line="360" w:lineRule="auto"/>
      </w:pPr>
      <w:r>
        <w:rPr>
          <w:rFonts w:ascii="Tahoma" w:hAnsi="Tahoma" w:cs="Tahoma"/>
          <w:b/>
          <w:bCs/>
          <w:rtl/>
          <w:sz w:val="24"/>
          <w:szCs w:val="24"/>
        </w:rPr>
        <w:t xml:space="preserve">ماده 8: تعهدات کارفرما</w:t>
      </w:r>
    </w:p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>فراهم کردن دسترسی های لازم، معرفی نماینده فنی، اطلاع از تغییرات در شبکه و تجهیزات، تأمین شرایط محیطی مناسب (برق، خنک کاری، فضا) و پرداخت به موقع مبالغ.</w:t>
      </w:r>
    </w:p>
    <w:p>
      <w:pPr>
        <w:bidi/>
        <w:spacing w:after="80" w:line="360" w:lineRule="auto"/>
      </w:pPr>
      <w:r>
        <w:rPr>
          <w:rFonts w:ascii="Tahoma" w:hAnsi="Tahoma" w:cs="Tahoma"/>
          <w:b/>
          <w:bCs/>
          <w:rtl/>
          <w:sz w:val="24"/>
          <w:szCs w:val="24"/>
        </w:rPr>
        <w:t xml:space="preserve">ماده 9: محرمانگی</w:t>
      </w:r>
    </w:p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>پیمانکار اطلاعات، رمزها و داده های کارفرما را محرمانه نگه می دارد و آن ها را فقط برای انجام موضوع قرارداد به کار می برد. این تعهد بعد از پایان قرارداد هم برقرار است.</w:t>
      </w:r>
    </w:p>
    <w:p>
      <w:pPr>
        <w:bidi/>
        <w:spacing w:after="80" w:line="360" w:lineRule="auto"/>
      </w:pPr>
      <w:r>
        <w:rPr>
          <w:rFonts w:ascii="Tahoma" w:hAnsi="Tahoma" w:cs="Tahoma"/>
          <w:b/>
          <w:bCs/>
          <w:rtl/>
          <w:sz w:val="24"/>
          <w:szCs w:val="24"/>
        </w:rPr>
        <w:t xml:space="preserve">ماده 10: گزارش دهی و جلسات</w:t>
      </w:r>
    </w:p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>گزارش ماهانه شامل رخدادها، زمان پاسخ و رفع، تغییرات انجام شده و توصیه ها تهیه می شود. جلسه مرور هر ............ ماه یک بار برگزار می شود.</w:t>
      </w:r>
    </w:p>
    <w:p>
      <w:pPr>
        <w:bidi/>
        <w:spacing w:after="80" w:line="360" w:lineRule="auto"/>
      </w:pPr>
      <w:r>
        <w:rPr>
          <w:rFonts w:ascii="Tahoma" w:hAnsi="Tahoma" w:cs="Tahoma"/>
          <w:b/>
          <w:bCs/>
          <w:rtl/>
          <w:sz w:val="24"/>
          <w:szCs w:val="24"/>
        </w:rPr>
        <w:t xml:space="preserve">ماده 11: مسئولیت و محدودیت ها</w:t>
      </w:r>
    </w:p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>سقف و شرایط مسئولیت طرفین در برابر خسارت های ناشی از قطعی یا از دست رفتن داده: ........................ . بکاپ گیری و تست بازیابی بخشی از خدمات است یا خارج از آن است (گزینه مورد توافق را مشخص کنید): ............</w:t>
      </w:r>
    </w:p>
    <w:p>
      <w:pPr>
        <w:bidi/>
        <w:spacing w:after="80" w:line="360" w:lineRule="auto"/>
      </w:pPr>
      <w:r>
        <w:rPr>
          <w:rFonts w:ascii="Tahoma" w:hAnsi="Tahoma" w:cs="Tahoma"/>
          <w:b/>
          <w:bCs/>
          <w:rtl/>
          <w:sz w:val="24"/>
          <w:szCs w:val="24"/>
        </w:rPr>
        <w:t xml:space="preserve">ماده 12: فسخ و تمدید</w:t>
      </w:r>
    </w:p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>هر طرف با ارسال اخطار کتبی ............ روز قبل می تواند قرارداد را فسخ کند. در صورت فسخ، پیمانکار مستندات، رمزها و دسترسی های در اختیار خود را تحویل می دهد.</w:t>
      </w:r>
    </w:p>
    <w:p>
      <w:pPr>
        <w:bidi/>
        <w:spacing w:after="80" w:line="360" w:lineRule="auto"/>
      </w:pPr>
      <w:r>
        <w:rPr>
          <w:rFonts w:ascii="Tahoma" w:hAnsi="Tahoma" w:cs="Tahoma"/>
          <w:b/>
          <w:bCs/>
          <w:rtl/>
          <w:sz w:val="24"/>
          <w:szCs w:val="24"/>
        </w:rPr>
        <w:t xml:space="preserve">ماده 13: حل اختلاف و قانون حاکم</w:t>
      </w:r>
    </w:p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>اختلاف ها ابتدا با مذاکره حل می شود. در صورت عدم توافق، مطابق قوانین جمهوری اسلامی ایران از طریق مرجع صالح: ........................ پیگیری می شود.</w:t>
      </w:r>
    </w:p>
    <w:p>
      <w:pPr>
        <w:bidi/>
        <w:spacing w:after="80" w:line="360" w:lineRule="auto"/>
      </w:pPr>
      <w:r>
        <w:rPr>
          <w:rFonts w:ascii="Tahoma" w:hAnsi="Tahoma" w:cs="Tahoma"/>
          <w:b/>
          <w:bCs/>
          <w:rtl/>
          <w:sz w:val="24"/>
          <w:szCs w:val="24"/>
        </w:rPr>
        <w:t xml:space="preserve">ماده 14: نسخه ها و امضا</w:t>
      </w:r>
    </w:p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>این قرارداد در ............ ماده و ............ نسخه با اعتبار یکسان تنظیم و امضا می شود.</w:t>
      </w:r>
    </w:p>
    <w:p>
      <w:pPr>
        <w:bidi/>
        <w:spacing w:after="80" w:line="360" w:lineRule="auto"/>
      </w:pPr>
      <w:r>
        <w:rPr>
          <w:rFonts w:ascii="Tahoma" w:hAnsi="Tahoma" w:cs="Tahoma"/>
          <w:b/>
          <w:bCs/>
          <w:rtl/>
          <w:sz w:val="24"/>
          <w:szCs w:val="24"/>
        </w:rPr>
        <w:t xml:space="preserve">پیوست 1: فهرست تجهیزات و سرویس ها</w:t>
      </w:r>
    </w:p>
    <w:tbl>
      <w:tblPr>
        <w:tblW w:w="5000" w:type="pct"/>
        <w:bidiVisual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</w:tblPr>
      <w:tr>
        <w:tc>
          <w:tcPr>
            <w:shd w:val="clear" w:color="auto" w:fill="E8F1EF"/>
          </w:tcPr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b/>
                <w:bCs/>
                <w:rtl/>
                <w:sz w:val="20"/>
                <w:szCs w:val="20"/>
              </w:rPr>
              <w:t xml:space="preserve">ردیف</w:t>
            </w:r>
          </w:p>
        </w:tc>
        <w:tc>
          <w:tcPr>
            <w:shd w:val="clear" w:color="auto" w:fill="E8F1EF"/>
          </w:tcPr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b/>
                <w:bCs/>
                <w:rtl/>
                <w:sz w:val="20"/>
                <w:szCs w:val="20"/>
              </w:rPr>
              <w:t xml:space="preserve">نوع تجهیز یا سرویس</w:t>
            </w:r>
          </w:p>
        </w:tc>
        <w:tc>
          <w:tcPr>
            <w:shd w:val="clear" w:color="auto" w:fill="E8F1EF"/>
          </w:tcPr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b/>
                <w:bCs/>
                <w:rtl/>
                <w:sz w:val="20"/>
                <w:szCs w:val="20"/>
              </w:rPr>
              <w:t xml:space="preserve">مدل و تعداد</w:t>
            </w:r>
          </w:p>
        </w:tc>
        <w:tc>
          <w:tcPr>
            <w:shd w:val="clear" w:color="auto" w:fill="E8F1EF"/>
          </w:tcPr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b/>
                <w:bCs/>
                <w:rtl/>
                <w:sz w:val="20"/>
                <w:szCs w:val="20"/>
              </w:rPr>
              <w:t xml:space="preserve">محل</w:t>
            </w:r>
          </w:p>
        </w:tc>
        <w:tc>
          <w:tcPr>
            <w:shd w:val="clear" w:color="auto" w:fill="E8F1EF"/>
          </w:tcPr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b/>
                <w:bCs/>
                <w:rtl/>
                <w:sz w:val="20"/>
                <w:szCs w:val="20"/>
              </w:rPr>
              <w:t xml:space="preserve">توضیح</w:t>
            </w:r>
          </w:p>
        </w:tc>
      </w:tr>
      <w:tr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1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</w:tr>
      <w:tr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2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</w:tr>
      <w:tr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3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  <w:tc>
          <w:tcPr/>
          <w:p>
            <w:pPr>
              <w:bidi/>
              <w:spacing w:after="40" w:line="360" w:lineRule="auto"/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............</w:t>
            </w:r>
          </w:p>
        </w:tc>
      </w:tr>
    </w:tbl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/>
      </w:r>
    </w:p>
    <w:p>
      <w:pPr>
        <w:bidi/>
        <w:spacing w:after="120" w:line="360" w:lineRule="auto"/>
      </w:pPr>
      <w:r>
        <w:rPr>
          <w:rFonts w:ascii="Tahoma" w:hAnsi="Tahoma" w:cs="Tahoma"/>
          <w:rtl/>
          <w:sz w:val="22"/>
          <w:szCs w:val="22"/>
        </w:rPr>
        <w:t xml:space="preserve">پیوست 2: روش اندازه گیری زمان پاسخ و رفع: ................................................</w:t>
      </w:r>
    </w:p>
    <w:p>
      <w:pPr>
        <w:bidi/>
        <w:spacing w:after="60" w:line="360" w:lineRule="auto"/>
      </w:pPr>
      <w:r>
        <w:rPr>
          <w:rFonts w:ascii="Tahoma" w:hAnsi="Tahoma" w:cs="Tahoma"/>
          <w:rtl/>
          <w:sz w:val="22"/>
          <w:szCs w:val="22"/>
        </w:rPr>
        <w:t xml:space="preserve">امضای کارفرما: ....................        امضای پیمانکار: ....................</w:t>
      </w:r>
    </w:p>
    <w:sectPr>
      <w:pgSz w:w="11906" w:h="16838"/>
      <w:pgMar w:top="1134" w:right="1134" w:bottom="1134" w:left="1134" w:header="708" w:footer="708" w:gutter="0"/>
      <w:bidi/>
    </w:sectPr>
  </w:body>
</w:document>
</file>